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重庆巴韵山水农文旅发展有限公司章程</w:t>
      </w:r>
    </w:p>
    <w:p>
      <w:pPr>
        <w:pStyle w:val="Heading1"/>
      </w:pPr>
      <w:r>
        <w:t>第一章 总则</w:t>
      </w:r>
    </w:p>
    <w:p>
      <w:r>
        <w:t xml:space="preserve">第一条 </w:t>
      </w:r>
      <w:r>
        <w:t xml:space="preserve"> 为规范公司的组织和行为，保护公司、股东和债权人的合法权益，根据《中华人民共和国公司法》（以下简称《公司法》）及相关法律、法规的规定，制定本章程。</w:t>
      </w:r>
    </w:p>
    <w:p>
      <w:r>
        <w:t xml:space="preserve">第二条 </w:t>
      </w:r>
      <w:r>
        <w:t xml:space="preserve"> 公司名称：重庆巴韵山水农文旅发展有限公司</w:t>
      </w:r>
    </w:p>
    <w:p>
      <w:r>
        <w:t xml:space="preserve">第三条 </w:t>
      </w:r>
      <w:r>
        <w:t xml:space="preserve"> 公司住所：重庆市长寿区晏家街道金龙村符家湾</w:t>
      </w:r>
    </w:p>
    <w:p>
      <w:r>
        <w:t xml:space="preserve">第四条 </w:t>
      </w:r>
      <w:r>
        <w:t xml:space="preserve"> 公司由赵永竟、周熙皓、蔡军、王清华、赵永放共同出资设立，为有限责任公司。</w:t>
      </w:r>
    </w:p>
    <w:p>
      <w:r>
        <w:t xml:space="preserve">第五条 </w:t>
      </w:r>
      <w:r>
        <w:t xml:space="preserve"> 公司经营期限：长期</w:t>
      </w:r>
    </w:p>
    <w:p>
      <w:pPr>
        <w:pStyle w:val="Heading1"/>
      </w:pPr>
      <w:r>
        <w:t>第二章 经营范围</w:t>
      </w:r>
    </w:p>
    <w:p>
      <w:r>
        <w:t>公司的经营宗旨：依法经营，规范管理，优质服务，诚实守信，创造良好的经济效益和社会效益。</w:t>
      </w:r>
    </w:p>
    <w:p>
      <w:r>
        <w:t>公司的经营范围：</w:t>
      </w:r>
    </w:p>
    <w:p>
      <w:r>
        <w:t>1. 农业技术开发、技术咨询、技术转让、技术推广</w:t>
      </w:r>
    </w:p>
    <w:p>
      <w:r>
        <w:t>2. 农业观光旅游项目开发、建设、运营</w:t>
      </w:r>
    </w:p>
    <w:p>
      <w:r>
        <w:t>3. 矿山公园转型改造及农文旅项目投资建设</w:t>
      </w:r>
    </w:p>
    <w:p>
      <w:r>
        <w:t>4. 农产品种植、加工、销售</w:t>
      </w:r>
    </w:p>
    <w:p>
      <w:r>
        <w:t>5. 文化旅游活动组织策划</w:t>
      </w:r>
    </w:p>
    <w:p>
      <w:r>
        <w:t>6. 休闲观光活动</w:t>
      </w:r>
    </w:p>
    <w:p>
      <w:r>
        <w:t>7. 经营许可范围内的食品销售</w:t>
      </w:r>
    </w:p>
    <w:p>
      <w:r>
        <w:t>8. 土地整治服务</w:t>
      </w:r>
    </w:p>
    <w:p>
      <w:r>
        <w:t>9. 园林绿化工程施工</w:t>
      </w:r>
    </w:p>
    <w:p>
      <w:r>
        <w:t>10. 绿地和绿地设施工程施工（依法须经批准的项目，开展经营活动）</w:t>
      </w:r>
    </w:p>
    <w:p>
      <w:pPr>
        <w:pStyle w:val="Heading1"/>
      </w:pPr>
      <w:r>
        <w:t>第三章 注册资本和股东</w:t>
      </w:r>
    </w:p>
    <w:p>
      <w:r>
        <w:t>第八条 公司注册资本为人民币230万元（大写：贰佰叁拾万元整）。</w:t>
      </w:r>
    </w:p>
    <w:p>
      <w:r>
        <w:t>第九条 股东如下：</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t>股东姓名</w:t>
            </w:r>
            <w:r>
              <w:rPr>
                <w:b/>
              </w:rPr>
            </w:r>
          </w:p>
        </w:tc>
        <w:tc>
          <w:tcPr>
            <w:tcW w:type="dxa" w:w="2160"/>
          </w:tcPr>
          <w:p>
            <w:r>
              <w:t>出资方式</w:t>
            </w:r>
            <w:r>
              <w:rPr>
                <w:b/>
              </w:rPr>
            </w:r>
          </w:p>
        </w:tc>
        <w:tc>
          <w:tcPr>
            <w:tcW w:type="dxa" w:w="2160"/>
          </w:tcPr>
          <w:p>
            <w:r>
              <w:t>出资额（万元）</w:t>
            </w:r>
            <w:r>
              <w:rPr>
                <w:b/>
              </w:rPr>
            </w:r>
          </w:p>
        </w:tc>
        <w:tc>
          <w:tcPr>
            <w:tcW w:type="dxa" w:w="2160"/>
          </w:tcPr>
          <w:p>
            <w:r>
              <w:t>股权比例</w:t>
            </w:r>
            <w:r>
              <w:rPr>
                <w:b/>
              </w:rPr>
            </w:r>
          </w:p>
        </w:tc>
      </w:tr>
      <w:tr>
        <w:tc>
          <w:tcPr>
            <w:tcW w:type="dxa" w:w="2160"/>
          </w:tcPr>
          <w:p>
            <w:r>
              <w:t>赵永竟</w:t>
            </w:r>
          </w:p>
        </w:tc>
        <w:tc>
          <w:tcPr>
            <w:tcW w:type="dxa" w:w="2160"/>
          </w:tcPr>
          <w:p>
            <w:r>
              <w:t>货币110万+实物10万(吉利雷达电动皮卡车)</w:t>
            </w:r>
          </w:p>
        </w:tc>
        <w:tc>
          <w:tcPr>
            <w:tcW w:type="dxa" w:w="2160"/>
          </w:tcPr>
          <w:p>
            <w:r>
              <w:t>120</w:t>
            </w:r>
          </w:p>
        </w:tc>
        <w:tc>
          <w:tcPr>
            <w:tcW w:type="dxa" w:w="2160"/>
          </w:tcPr>
          <w:p>
            <w:r>
              <w:t>52.1739%</w:t>
            </w:r>
          </w:p>
        </w:tc>
      </w:tr>
      <w:tr>
        <w:tc>
          <w:tcPr>
            <w:tcW w:type="dxa" w:w="2160"/>
          </w:tcPr>
          <w:p>
            <w:r>
              <w:t>周熙皓</w:t>
            </w:r>
          </w:p>
        </w:tc>
        <w:tc>
          <w:tcPr>
            <w:tcW w:type="dxa" w:w="2160"/>
          </w:tcPr>
          <w:p>
            <w:r>
              <w:t>货币</w:t>
            </w:r>
          </w:p>
        </w:tc>
        <w:tc>
          <w:tcPr>
            <w:tcW w:type="dxa" w:w="2160"/>
          </w:tcPr>
          <w:p>
            <w:r>
              <w:t>60</w:t>
            </w:r>
          </w:p>
        </w:tc>
        <w:tc>
          <w:tcPr>
            <w:tcW w:type="dxa" w:w="2160"/>
          </w:tcPr>
          <w:p>
            <w:r>
              <w:t>26.0869%</w:t>
            </w:r>
          </w:p>
        </w:tc>
      </w:tr>
      <w:tr>
        <w:tc>
          <w:tcPr>
            <w:tcW w:type="dxa" w:w="2160"/>
          </w:tcPr>
          <w:p>
            <w:r>
              <w:t>蔡军</w:t>
            </w:r>
          </w:p>
        </w:tc>
        <w:tc>
          <w:tcPr>
            <w:tcW w:type="dxa" w:w="2160"/>
          </w:tcPr>
          <w:p>
            <w:r>
              <w:t>货币</w:t>
            </w:r>
          </w:p>
        </w:tc>
        <w:tc>
          <w:tcPr>
            <w:tcW w:type="dxa" w:w="2160"/>
          </w:tcPr>
          <w:p>
            <w:r>
              <w:t>40</w:t>
            </w:r>
          </w:p>
        </w:tc>
        <w:tc>
          <w:tcPr>
            <w:tcW w:type="dxa" w:w="2160"/>
          </w:tcPr>
          <w:p>
            <w:r>
              <w:t>17.3913%</w:t>
            </w:r>
          </w:p>
        </w:tc>
      </w:tr>
      <w:tr>
        <w:tc>
          <w:tcPr>
            <w:tcW w:type="dxa" w:w="2160"/>
          </w:tcPr>
          <w:p>
            <w:r>
              <w:t>王清华</w:t>
            </w:r>
          </w:p>
        </w:tc>
        <w:tc>
          <w:tcPr>
            <w:tcW w:type="dxa" w:w="2160"/>
          </w:tcPr>
          <w:p>
            <w:r>
              <w:t>货币</w:t>
            </w:r>
          </w:p>
        </w:tc>
        <w:tc>
          <w:tcPr>
            <w:tcW w:type="dxa" w:w="2160"/>
          </w:tcPr>
          <w:p>
            <w:r>
              <w:t>10</w:t>
            </w:r>
          </w:p>
        </w:tc>
        <w:tc>
          <w:tcPr>
            <w:tcW w:type="dxa" w:w="2160"/>
          </w:tcPr>
          <w:p>
            <w:r>
              <w:t>4.3478%</w:t>
            </w:r>
          </w:p>
        </w:tc>
      </w:tr>
      <w:tr>
        <w:tc>
          <w:tcPr>
            <w:tcW w:type="dxa" w:w="2160"/>
          </w:tcPr>
          <w:p>
            <w:r>
              <w:t>赵永放</w:t>
            </w:r>
          </w:p>
        </w:tc>
        <w:tc>
          <w:tcPr>
            <w:tcW w:type="dxa" w:w="2160"/>
          </w:tcPr>
          <w:p>
            <w:r>
              <w:t>农业技术股</w:t>
            </w:r>
          </w:p>
        </w:tc>
        <w:tc>
          <w:tcPr>
            <w:tcW w:type="dxa" w:w="2160"/>
          </w:tcPr>
          <w:p>
            <w:r>
              <w:t>0</w:t>
            </w:r>
          </w:p>
        </w:tc>
        <w:tc>
          <w:tcPr>
            <w:tcW w:type="dxa" w:w="2160"/>
          </w:tcPr>
          <w:p>
            <w:r>
              <w:t>0%</w:t>
            </w:r>
          </w:p>
        </w:tc>
      </w:tr>
    </w:tbl>
    <w:p>
      <w:r>
        <w:t>第十条 股东应当按期足额缴纳公司章程中规定的各自所认缴的出资额。</w:t>
      </w:r>
    </w:p>
    <w:p>
      <w:r>
        <w:t>第十一条 股东以货币出资的，应当将货币出资足额存入公司在银行开设的账户；以非货币财产出资的，应当依法办理其财产权的转移手续。</w:t>
      </w:r>
    </w:p>
    <w:p>
      <w:r>
        <w:t>第十二条 股东不按照前款规定缴纳出资的，除应当向公司足额缴纳外，还应当向已按期足额缴纳出资的股东承担违约责任。</w:t>
      </w:r>
    </w:p>
    <w:p>
      <w:pPr>
        <w:pStyle w:val="Heading1"/>
      </w:pPr>
      <w:r>
        <w:t>第四章 股东会</w:t>
      </w:r>
    </w:p>
    <w:p>
      <w:r>
        <w:t>第十三条 股东会由全体股东组成，是公司的权力机构。</w:t>
      </w:r>
    </w:p>
    <w:p>
      <w:r>
        <w:t>第十四条 股东会行使下列职权：</w:t>
      </w:r>
    </w:p>
    <w:p>
      <w:pPr>
        <w:pStyle w:val="ListNumber"/>
      </w:pPr>
      <w:r>
        <w:t>1. 决定公司的经营方针和投资计划</w:t>
      </w:r>
    </w:p>
    <w:p>
      <w:pPr>
        <w:pStyle w:val="ListNumber"/>
      </w:pPr>
      <w:r>
        <w:t>2. 选举和更换非由职工代表担任的董事、监事，决定有关董事、监事的报酬事项</w:t>
      </w:r>
    </w:p>
    <w:p>
      <w:pPr>
        <w:pStyle w:val="ListNumber"/>
      </w:pPr>
      <w:r>
        <w:t>3. 审议批准董事会的报告</w:t>
      </w:r>
    </w:p>
    <w:p>
      <w:pPr>
        <w:pStyle w:val="ListNumber"/>
      </w:pPr>
      <w:r>
        <w:t>4. 审议批准监事（或监事会）的报告</w:t>
      </w:r>
    </w:p>
    <w:p>
      <w:pPr>
        <w:pStyle w:val="ListNumber"/>
      </w:pPr>
      <w:r>
        <w:t>5. 审议批准公司的年度财务预算方案、决算方案</w:t>
      </w:r>
    </w:p>
    <w:p>
      <w:pPr>
        <w:pStyle w:val="ListNumber"/>
      </w:pPr>
      <w:r>
        <w:t>6. 审议批准公司的利润分配方案和弥补亏损方案</w:t>
      </w:r>
    </w:p>
    <w:p>
      <w:pPr>
        <w:pStyle w:val="ListNumber"/>
      </w:pPr>
      <w:r>
        <w:t>7. 对公司增加或者减少注册资本作出决议</w:t>
      </w:r>
    </w:p>
    <w:p>
      <w:pPr>
        <w:pStyle w:val="ListNumber"/>
      </w:pPr>
      <w:r>
        <w:t>8. 对发行公司债券作出决议</w:t>
      </w:r>
    </w:p>
    <w:p>
      <w:pPr>
        <w:pStyle w:val="ListNumber"/>
      </w:pPr>
      <w:r>
        <w:t>9. 对公司合并、分立、解散、清算或者变更公司形式的决议</w:t>
      </w:r>
    </w:p>
    <w:p>
      <w:pPr>
        <w:pStyle w:val="ListNumber"/>
      </w:pPr>
      <w:r>
        <w:t>10. 修改公司章程</w:t>
      </w:r>
    </w:p>
    <w:p>
      <w:pPr>
        <w:pStyle w:val="ListNumber"/>
      </w:pPr>
      <w:r>
        <w:t>11. 公司章程规定的其他职权</w:t>
      </w:r>
    </w:p>
    <w:p>
      <w:r>
        <w:t>第十五条 股东会会议由股东按照出资比例行使表决权。</w:t>
      </w:r>
    </w:p>
    <w:p>
      <w:r>
        <w:t>第十六条 股东会会议分为定期会议和临时会议。定期会议每季度召开一次。代表十分之一以上表决权的股东，三分之一以上的董事，监事提议召开临时会议的，应当召开临时会议。</w:t>
      </w:r>
    </w:p>
    <w:p>
      <w:r>
        <w:t>第十七条 召开股东会会议，应当于会议召开十日前通知全体股东。</w:t>
      </w:r>
    </w:p>
    <w:p>
      <w:r>
        <w:t>第十八条 股东会作出决议，必须经代表三分之二以上表决权的股东通过。</w:t>
      </w:r>
    </w:p>
    <w:p>
      <w:r>
        <w:t>第十九条 股东会作出修改公司章程、增加或者减少注册资本的决议，以及公司合并、分立、解散或者变更公司形式的决议，必须经代表三分之二以上表决权的股东通过。</w:t>
      </w:r>
    </w:p>
    <w:p>
      <w:pPr>
        <w:pStyle w:val="Heading1"/>
      </w:pPr>
      <w:r>
        <w:t>第五章 董事会</w:t>
      </w:r>
    </w:p>
    <w:p>
      <w:r>
        <w:t>第十九条 董事会设董事长一人，由董事会选举产生。董事长为公司的法定代表人。</w:t>
      </w:r>
    </w:p>
    <w:p>
      <w:r>
        <w:t>第二十条 董事会对股东会负责，行使下列职权：</w:t>
      </w:r>
    </w:p>
    <w:p>
      <w:pPr>
        <w:pStyle w:val="ListNumber"/>
      </w:pPr>
      <w:r>
        <w:t>1. 召集股东会会议，并向股东会报告工作</w:t>
      </w:r>
    </w:p>
    <w:p>
      <w:pPr>
        <w:pStyle w:val="ListNumber"/>
      </w:pPr>
      <w:r>
        <w:t>2. 执行股东会的决议</w:t>
      </w:r>
    </w:p>
    <w:p>
      <w:pPr>
        <w:pStyle w:val="ListNumber"/>
      </w:pPr>
      <w:r>
        <w:t>3. 决定公司的经营计划和投资方案</w:t>
      </w:r>
    </w:p>
    <w:p>
      <w:pPr>
        <w:pStyle w:val="ListNumber"/>
      </w:pPr>
      <w:r>
        <w:t>4. 制订公司的年度财务预算方案、决算方案</w:t>
      </w:r>
    </w:p>
    <w:p>
      <w:pPr>
        <w:pStyle w:val="ListNumber"/>
      </w:pPr>
      <w:r>
        <w:t>5. 制订公司的利润分配方案和弥补亏损方案</w:t>
      </w:r>
    </w:p>
    <w:p>
      <w:pPr>
        <w:pStyle w:val="ListNumber"/>
      </w:pPr>
      <w:r>
        <w:t>6. 制订公司增加或者减少注册资本以及发行公司债券的方案</w:t>
      </w:r>
    </w:p>
    <w:p>
      <w:pPr>
        <w:pStyle w:val="ListNumber"/>
      </w:pPr>
      <w:r>
        <w:t>7. 制订公司合并、分立、解散或者变更公司形式的方案</w:t>
      </w:r>
    </w:p>
    <w:p>
      <w:pPr>
        <w:pStyle w:val="ListNumber"/>
      </w:pPr>
      <w:r>
        <w:t>8. 聘任或者解聘公司经理（总经理），根据经理的提名聘任或者解聘公司副经理、财务负责人，决定其报酬事项</w:t>
      </w:r>
    </w:p>
    <w:p>
      <w:pPr>
        <w:pStyle w:val="ListNumber"/>
      </w:pPr>
      <w:r>
        <w:t>9. 制定公司的基本管理制度</w:t>
      </w:r>
    </w:p>
    <w:p>
      <w:pPr>
        <w:pStyle w:val="ListNumber"/>
      </w:pPr>
      <w:r>
        <w:t>10. 董事会授予的其他职权</w:t>
      </w:r>
    </w:p>
    <w:p>
      <w:r>
        <w:t>第二十二条 总经理对董事会负责，行使下列职权：</w:t>
      </w:r>
    </w:p>
    <w:p>
      <w:pPr>
        <w:pStyle w:val="ListNumber"/>
      </w:pPr>
      <w:r>
        <w:t>1. 主持公司的生产经营管理工作，组织实施董事会决议</w:t>
      </w:r>
    </w:p>
    <w:p>
      <w:pPr>
        <w:pStyle w:val="ListNumber"/>
      </w:pPr>
      <w:r>
        <w:t>2. 组织实施公司年度经营计划和投资方案</w:t>
      </w:r>
    </w:p>
    <w:p>
      <w:pPr>
        <w:pStyle w:val="ListNumber"/>
      </w:pPr>
      <w:r>
        <w:t>3. 拟订公司的内部管理机构设置方案</w:t>
      </w:r>
    </w:p>
    <w:p>
      <w:pPr>
        <w:pStyle w:val="ListNumber"/>
      </w:pPr>
      <w:r>
        <w:t>4. 制定公司的具体规章</w:t>
      </w:r>
    </w:p>
    <w:p>
      <w:pPr>
        <w:pStyle w:val="ListNumber"/>
      </w:pPr>
      <w:r>
        <w:t>5. 制订公司的基本管理制度</w:t>
      </w:r>
    </w:p>
    <w:p>
      <w:pPr>
        <w:pStyle w:val="ListNumber"/>
      </w:pPr>
      <w:r>
        <w:t>6. 董事会授予的其他职权</w:t>
      </w:r>
    </w:p>
    <w:p>
      <w:r>
        <w:t>第二十三条 公司设副总经理一名，协助总经理工作。</w:t>
      </w:r>
    </w:p>
    <w:p>
      <w:r>
        <w:t>第二十四条 公司设农技总监一名，负责农业技术相关工作。</w:t>
      </w:r>
    </w:p>
    <w:p>
      <w:r>
        <w:t>第二十五条 公司的高级管理人员，包括总经理、副总经理、财务负责人等，不得利用职权收受贿赂或者其他非法收入，不得侵占公司的财产。</w:t>
      </w:r>
    </w:p>
    <w:p>
      <w:pPr>
        <w:pStyle w:val="Heading1"/>
      </w:pPr>
      <w:r>
        <w:t>第六章 监事</w:t>
      </w:r>
    </w:p>
    <w:p>
      <w:r>
        <w:t>第二十八条 公司不设监事会，设监事一人，由股东会选举产生。</w:t>
      </w:r>
    </w:p>
    <w:p>
      <w:r>
        <w:t>第二十九条 监事行使下列职权：</w:t>
      </w:r>
    </w:p>
    <w:p>
      <w:pPr>
        <w:pStyle w:val="ListNumber"/>
      </w:pPr>
      <w:r>
        <w:t>1. 查公司财务</w:t>
      </w:r>
    </w:p>
    <w:p>
      <w:pPr>
        <w:pStyle w:val="ListNumber"/>
      </w:pPr>
      <w:r>
        <w:t>2. 对董事、高级管理人员执行公司职务的行为进行监督</w:t>
      </w:r>
    </w:p>
    <w:p>
      <w:pPr>
        <w:pStyle w:val="ListNumber"/>
      </w:pPr>
      <w:r>
        <w:t>3. 当董事、高级管理人员的行为损害公司的利益时，要求董事、高级管理人员予以纠正</w:t>
      </w:r>
    </w:p>
    <w:p>
      <w:pPr>
        <w:pStyle w:val="ListNumber"/>
      </w:pPr>
      <w:r>
        <w:t>4. 向股东会会议提出提案</w:t>
      </w:r>
    </w:p>
    <w:p>
      <w:pPr>
        <w:pStyle w:val="ListNumber"/>
      </w:pPr>
      <w:r>
        <w:t>5. 依照《公司法》第一百五十一条的规定，对董事、高级管理人员提起诉讼。</w:t>
      </w:r>
    </w:p>
    <w:p>
      <w:r>
        <w:t>第三十条 监事行使职权所必需的费用，由公司承担。</w:t>
      </w:r>
    </w:p>
    <w:p>
      <w:pPr>
        <w:pStyle w:val="Heading1"/>
      </w:pPr>
      <w:r>
        <w:t>第七章 财务、会计、利润分配及劳动用工</w:t>
      </w:r>
    </w:p>
    <w:p>
      <w:r>
        <w:t>第三十一条 公司应当依照法律、行政法规和财政部门的规定建立本公司的财务、会计制度。</w:t>
      </w:r>
    </w:p>
    <w:p>
      <w:r>
        <w:t>第三十二条 公司应当在每一会计年度终了时编制财务会计报告，并经会计师事务所审计。</w:t>
      </w:r>
    </w:p>
    <w:p>
      <w:r>
        <w:t>第三十三条 公司利润分配按照下列顺序进行：</w:t>
      </w:r>
    </w:p>
    <w:p>
      <w:pPr>
        <w:pStyle w:val="ListNumber"/>
      </w:pPr>
      <w:r>
        <w:t>1. 弥补以前年度亏损</w:t>
      </w:r>
    </w:p>
    <w:p>
      <w:pPr>
        <w:pStyle w:val="ListNumber"/>
      </w:pPr>
      <w:r>
        <w:t>2. 提取法定公积金（法定公积金累计额为公司注册资本的百分之五十以上的，可以不再提取）</w:t>
      </w:r>
    </w:p>
    <w:p>
      <w:pPr>
        <w:pStyle w:val="ListNumber"/>
      </w:pPr>
      <w:r>
        <w:t>3. 提取任意公积金</w:t>
      </w:r>
    </w:p>
    <w:p>
      <w:pPr>
        <w:pStyle w:val="ListNumber"/>
      </w:pPr>
      <w:r>
        <w:t>4. 支付股东红利</w:t>
      </w:r>
    </w:p>
    <w:p>
      <w:r>
        <w:t>第三十四条 公司分配当年税后利润时，应当提取利润的百分之十列入公司法定公积金。公司法定公积金累计额为公司注册资本的百分之五十以上的，可以不再提取。</w:t>
      </w:r>
    </w:p>
    <w:p>
      <w:r>
        <w:t>第三十五条 公司弥补亏损和提取公积金后所余税后利润，有限责任公司按照股东实缴的出资比例分配。</w:t>
      </w:r>
    </w:p>
    <w:p>
      <w:r>
        <w:t>第三十六条 公司的公积金用于弥补公司的亏损、扩大公司生产经营或者转为增加公司资本。但是，资本公积金不得用于弥补公司的亏损。</w:t>
      </w:r>
    </w:p>
    <w:p>
      <w:r>
        <w:t>第三十七条 公司依照《公司法》规定提取法定公积金后，经股东会决议，还可以从税后利润中提取任意公积金。</w:t>
      </w:r>
    </w:p>
    <w:p>
      <w:r>
        <w:t>第三十八条 公司弥补亏损和提取公积金后所余税后利润，有限责任公司按照股东实缴的出资比例分配。公司违反《公司法》规定，在弥补亏损和提取法定公积金之前向股东分配利润的，股东必须将违反规定分配的利润退还公司。</w:t>
      </w:r>
    </w:p>
    <w:p>
      <w:r>
        <w:t>第三十九条 公司的股份收益分配按照股东实际持有的股权比例进行：</w:t>
      </w:r>
    </w:p>
    <w:p>
      <w:pPr>
        <w:pStyle w:val="ListBullet"/>
      </w:pPr>
      <w:r>
        <w:t>赵永竟：股份收益分配额度 47%</w:t>
      </w:r>
    </w:p>
    <w:p>
      <w:pPr>
        <w:pStyle w:val="ListBullet"/>
      </w:pPr>
      <w:r>
        <w:t>蔡军：股份收益分配额度 15.5%</w:t>
      </w:r>
    </w:p>
    <w:p>
      <w:pPr>
        <w:pStyle w:val="ListBullet"/>
      </w:pPr>
      <w:r>
        <w:t>周熙皓：股份收益分配额度 23.5%</w:t>
      </w:r>
    </w:p>
    <w:p>
      <w:pPr>
        <w:pStyle w:val="ListBullet"/>
      </w:pPr>
      <w:r>
        <w:t>王清华：股份收益分配额度 4%</w:t>
      </w:r>
    </w:p>
    <w:p>
      <w:pPr>
        <w:pStyle w:val="ListBullet"/>
      </w:pPr>
      <w:r>
        <w:t>赵永放：股份收益分配额度 10%（由赵永竟代持）</w:t>
      </w:r>
    </w:p>
    <w:p>
      <w:r>
        <w:t>第四十条 享受的国家专项补贴：扣除金龙村分红部分后的50%预留为公司固定资产，剩下的50%按出资比例予以股东配股和增资。</w:t>
      </w:r>
    </w:p>
    <w:p>
      <w:r>
        <w:t>第四十一条 公司依照有关法律、行政法规的规定，建立公司的财务、会计制度。</w:t>
      </w:r>
    </w:p>
    <w:p>
      <w:r>
        <w:t>第四十二条 公司在每一会计年度终了时编制财务会计报告，并依法经会计师事务所审计。</w:t>
      </w:r>
    </w:p>
    <w:p>
      <w:pPr>
        <w:pStyle w:val="Heading1"/>
      </w:pPr>
      <w:r>
        <w:t>第九章 股东出资期限</w:t>
      </w:r>
    </w:p>
    <w:p>
      <w:r>
        <w:t>第六十条 各股东出资期限如下：</w:t>
      </w:r>
    </w:p>
    <w:p>
      <w:pPr>
        <w:pStyle w:val="ListBullet"/>
      </w:pPr>
      <w:r>
        <w:t>赵永竟：可分两笔等额出资，第一笔到账时间为暂定2026年7月1日前，第二笔到账时间为2026年12月31日前</w:t>
      </w:r>
    </w:p>
    <w:p>
      <w:pPr>
        <w:pStyle w:val="ListBullet"/>
      </w:pPr>
      <w:r>
        <w:t>蔡军：可分两笔等额出资，第一笔到账时间为暂定2026年7月1日前，第二笔到账时间为2026年12月31日前</w:t>
      </w:r>
    </w:p>
    <w:p>
      <w:pPr>
        <w:pStyle w:val="ListBullet"/>
      </w:pPr>
      <w:r>
        <w:t>周熙皓：可分两笔等额出资，第一笔到账时间为暂定2026年7月1日前，第二笔到账时间为2026年12月31日前</w:t>
      </w:r>
    </w:p>
    <w:p>
      <w:pPr>
        <w:pStyle w:val="ListBullet"/>
      </w:pPr>
      <w:r>
        <w:t>王清华：可分两笔等额出资，第一笔到账时间为暂定2026年7月1日前，第二笔到账时间为2026年12月31日前</w:t>
      </w:r>
    </w:p>
    <w:p>
      <w:pPr>
        <w:pStyle w:val="Heading1"/>
      </w:pPr>
      <w:r>
        <w:t>第十章 职责分工</w:t>
      </w:r>
    </w:p>
    <w:p>
      <w:r>
        <w:t>法人代表：蔡军，身份证号: 512324198201211599</w:t>
      </w:r>
    </w:p>
    <w:p>
      <w:r>
        <w:t>董事长：赵永竟，身份证号: 510721197409225451</w:t>
      </w:r>
    </w:p>
    <w:p>
      <w:r>
        <w:t>总经理：周熙皓，身份证号: 50010720001018163X</w:t>
      </w:r>
    </w:p>
    <w:p>
      <w:r>
        <w:t>副总经理：王清华，身份证号: 510224196907064133</w:t>
      </w:r>
    </w:p>
    <w:p>
      <w:r>
        <w:t>农技总监：赵永放，身份证号: 510721197207115457</w:t>
      </w:r>
    </w:p>
    <w:p>
      <w:r>
        <w:t>第七十条 公司若因经营不善或其他原因发生亏损，甲、乙、丙、丁、戊五方按各自占有股权承担相应比例的经济亏损责任。</w:t>
      </w:r>
    </w:p>
    <w:p>
      <w:pPr>
        <w:pStyle w:val="Heading1"/>
      </w:pPr>
      <w:r>
        <w:t>第十一章 重大事项决策</w:t>
      </w:r>
    </w:p>
    <w:p>
      <w:r>
        <w:t>第六十一条 有以下重大事情和关系各股东利益的重大事项，由五个股东研究表决后，达到三分之二以上的股权同意后方可执行：</w:t>
      </w:r>
    </w:p>
    <w:p>
      <w:pPr>
        <w:pStyle w:val="ListNumber"/>
      </w:pPr>
      <w:r>
        <w:t>1. 单项经营性费用支付超过5万元</w:t>
      </w:r>
    </w:p>
    <w:p>
      <w:pPr>
        <w:pStyle w:val="ListNumber"/>
      </w:pPr>
      <w:r>
        <w:t>2. 公司股东变更、增资、融资、注销</w:t>
      </w:r>
    </w:p>
    <w:p>
      <w:pPr>
        <w:pStyle w:val="ListNumber"/>
      </w:pPr>
      <w:r>
        <w:t>3. 公司章程约定的其他重大事项</w:t>
      </w:r>
    </w:p>
    <w:p>
      <w:r>
        <w:t>第六十二条 公司每季度召开一次股东会议，审核公司的每月财务报表，评议公司的运作状况。</w:t>
      </w:r>
    </w:p>
    <w:p>
      <w:pPr>
        <w:pStyle w:val="Heading1"/>
      </w:pPr>
      <w:r>
        <w:t>第十二章 财务管理</w:t>
      </w:r>
    </w:p>
    <w:p>
      <w:r>
        <w:t>第六十三条 公司成立后，长寿区晏家街道金龙村符家湾矿山公园转农文旅项目的建设、经营管理应完全独立核算处理。</w:t>
      </w:r>
    </w:p>
    <w:p>
      <w:r>
        <w:t>第六十四条 为了更好的进行资金调控运作，灵活使用，成立后的股份公司所有现金和其他资产以及财会资料都有公司聘请独立的财务人员按公司法要求进行保管和支配使用。</w:t>
      </w:r>
    </w:p>
    <w:p>
      <w:pPr>
        <w:pStyle w:val="Heading1"/>
      </w:pPr>
      <w:r>
        <w:t>第十三章 保密与竞业禁止</w:t>
      </w:r>
    </w:p>
    <w:p>
      <w:r>
        <w:t>第六十五条 各股东及公司高级管理人员应对公司技术、商业计划、客户名单等保密信息承担永久保密义务。</w:t>
      </w:r>
    </w:p>
    <w:p>
      <w:r>
        <w:t>第六十六条 在公司任职期间及离职后5年内，任何股东不得自营或为他人经营与公司有竞争关系的业务。</w:t>
      </w:r>
    </w:p>
    <w:p>
      <w:pPr>
        <w:pStyle w:val="Heading1"/>
      </w:pPr>
      <w:r>
        <w:t>第十四章 违约责任</w:t>
      </w:r>
    </w:p>
    <w:p>
      <w:r>
        <w:t>第六十七条 公司成立后，四年内五方均不允许退出股份。逾期如有哪方股东退股，其所持股权优先由其他股东认购，如其他股东均不认购，退股方可把股份转让给第三方并享受相同的股权待遇。</w:t>
      </w:r>
    </w:p>
    <w:p>
      <w:r>
        <w:t>第六十八条 股权可以继承，但必须由合法继承人或合法委托人。</w:t>
      </w:r>
    </w:p>
    <w:p>
      <w:r>
        <w:t>第六十九条 以上条款各方均须共同遵守，若有任意一方违约，可按其总出资额的50%收取违约金。</w:t>
      </w:r>
    </w:p>
    <w:p>
      <w:pPr>
        <w:pStyle w:val="Heading1"/>
      </w:pPr>
      <w:r>
        <w:t>第十五章 争议解决</w:t>
      </w:r>
    </w:p>
    <w:p>
      <w:r>
        <w:t>第七十条 本章程未尽事宜由五方共同协商处理。</w:t>
      </w:r>
    </w:p>
    <w:p>
      <w:r>
        <w:br w:type="page"/>
      </w:r>
    </w:p>
    <w:p>
      <w:pPr>
        <w:pStyle w:val="Heading1"/>
      </w:pPr>
      <w:r>
        <w:t>股东签字</w:t>
      </w:r>
    </w:p>
    <w:p/>
    <w:tbl>
      <w:tblPr>
        <w:tblStyle w:val="LightGrid-Accent1"/>
        <w:tblW w:type="auto" w:w="0"/>
        <w:tblLook w:firstColumn="1" w:firstRow="1" w:lastColumn="0" w:lastRow="0" w:noHBand="0" w:noVBand="1" w:val="04A0"/>
      </w:tblPr>
      <w:tblGrid>
        <w:gridCol w:w="4320"/>
        <w:gridCol w:w="4320"/>
      </w:tblGrid>
      <w:tr>
        <w:tc>
          <w:tcPr>
            <w:tcW w:type="dxa" w:w="4320"/>
          </w:tcPr>
          <w:p>
            <w:r>
              <w:t>股东姓名</w:t>
            </w:r>
            <w:r>
              <w:rPr>
                <w:b/>
              </w:rPr>
            </w:r>
          </w:p>
        </w:tc>
        <w:tc>
          <w:tcPr>
            <w:tcW w:type="dxa" w:w="4320"/>
          </w:tcPr>
          <w:p>
            <w:r>
              <w:t>联系方式</w:t>
            </w:r>
            <w:r>
              <w:rPr>
                <w:b/>
              </w:rPr>
            </w:r>
          </w:p>
        </w:tc>
      </w:tr>
      <w:tr>
        <w:tc>
          <w:tcPr>
            <w:tcW w:type="dxa" w:w="4320"/>
          </w:tcPr>
          <w:p>
            <w:r>
              <w:t>赵永竟（身份证号: 510721197409225451）    联系方式: 13512397917</w:t>
            </w:r>
          </w:p>
        </w:tc>
        <w:tc>
          <w:tcPr>
            <w:tcW w:type="dxa" w:w="4320"/>
          </w:tcPr>
          <w:p/>
        </w:tc>
      </w:tr>
      <w:tr>
        <w:tc>
          <w:tcPr>
            <w:tcW w:type="dxa" w:w="4320"/>
          </w:tcPr>
          <w:p>
            <w:r>
              <w:t>周熙皓（身份证号: 50010720001018163X）    联系方式: 18502345308</w:t>
            </w:r>
          </w:p>
        </w:tc>
        <w:tc>
          <w:tcPr>
            <w:tcW w:type="dxa" w:w="4320"/>
          </w:tcPr>
          <w:p/>
        </w:tc>
      </w:tr>
      <w:tr>
        <w:tc>
          <w:tcPr>
            <w:tcW w:type="dxa" w:w="4320"/>
          </w:tcPr>
          <w:p>
            <w:r>
              <w:t>蔡军（身份证号: 512324198201211599）    联系方式: 13983179091</w:t>
            </w:r>
          </w:p>
        </w:tc>
        <w:tc>
          <w:tcPr>
            <w:tcW w:type="dxa" w:w="4320"/>
          </w:tcPr>
          <w:p/>
        </w:tc>
      </w:tr>
      <w:tr>
        <w:tc>
          <w:tcPr>
            <w:tcW w:type="dxa" w:w="4320"/>
          </w:tcPr>
          <w:p>
            <w:r>
              <w:t>王清华（身份证号: 510224196907064133）    联系方式: 13436026906</w:t>
            </w:r>
          </w:p>
        </w:tc>
        <w:tc>
          <w:tcPr>
            <w:tcW w:type="dxa" w:w="4320"/>
          </w:tcPr>
          <w:p/>
        </w:tc>
      </w:tr>
      <w:tr>
        <w:tc>
          <w:tcPr>
            <w:tcW w:type="dxa" w:w="4320"/>
          </w:tcPr>
          <w:p>
            <w:r>
              <w:t>赵永放（身份证号: 510721197207115457）    联系方式: 13320897240</w:t>
            </w:r>
          </w:p>
        </w:tc>
        <w:tc>
          <w:tcPr>
            <w:tcW w:type="dxa" w:w="4320"/>
          </w:tcPr>
          <w:p/>
        </w:tc>
      </w:tr>
    </w:tbl>
    <w:p/>
    <w:p>
      <w:r>
        <w:t>日期：    年    月    日</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Microsoft YaHei" w:hAnsi="Microsoft YaHe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